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4CA8" w14:textId="0CB60385" w:rsidR="004B25A3" w:rsidRPr="00C538FA" w:rsidRDefault="004B25A3" w:rsidP="00C538FA">
      <w:pPr>
        <w:spacing w:after="0" w:line="240" w:lineRule="auto"/>
        <w:ind w:right="-2"/>
        <w:jc w:val="right"/>
        <w:rPr>
          <w:rFonts w:ascii="Arial" w:hAnsi="Arial" w:cs="Arial"/>
        </w:rPr>
      </w:pPr>
      <w:r w:rsidRPr="00C538FA">
        <w:rPr>
          <w:rFonts w:ascii="Arial" w:hAnsi="Arial" w:cs="Arial"/>
        </w:rPr>
        <w:t>LISA 4</w:t>
      </w:r>
    </w:p>
    <w:p w14:paraId="7446EC17" w14:textId="681D2BC5" w:rsidR="004B25A3" w:rsidRPr="00C538FA" w:rsidRDefault="004B25A3" w:rsidP="00C538FA">
      <w:pPr>
        <w:spacing w:after="0" w:line="240" w:lineRule="auto"/>
        <w:jc w:val="both"/>
        <w:rPr>
          <w:rFonts w:ascii="Arial" w:hAnsi="Arial" w:cs="Arial"/>
        </w:rPr>
      </w:pPr>
      <w:r w:rsidRPr="00C538FA">
        <w:rPr>
          <w:rFonts w:ascii="Arial" w:hAnsi="Arial" w:cs="Arial"/>
        </w:rPr>
        <w:t>Sotsiaalkindlustusameti väikehanke „</w:t>
      </w:r>
      <w:r w:rsidRPr="00C538FA">
        <w:rPr>
          <w:rFonts w:ascii="Arial" w:hAnsi="Arial" w:cs="Arial"/>
        </w:rPr>
        <w:fldChar w:fldCharType="begin"/>
      </w:r>
      <w:r w:rsidR="005A60EA" w:rsidRPr="00C538FA">
        <w:rPr>
          <w:rFonts w:ascii="Arial" w:hAnsi="Arial" w:cs="Arial"/>
        </w:rPr>
        <w:instrText xml:space="preserve"> delta_docName  \* MERGEFORMAT</w:instrText>
      </w:r>
      <w:r w:rsidRPr="00C538FA">
        <w:rPr>
          <w:rFonts w:ascii="Arial" w:hAnsi="Arial" w:cs="Arial"/>
        </w:rPr>
        <w:fldChar w:fldCharType="separate"/>
      </w:r>
      <w:r w:rsidR="005A60EA" w:rsidRPr="00C538FA">
        <w:rPr>
          <w:rFonts w:ascii="Arial" w:hAnsi="Arial" w:cs="Arial"/>
        </w:rPr>
        <w:t>Hankedokumendid väikehankes „Täienduskoolituse läbiviimine ja koolitusmaterjalide loomine tööks psüühikahäire ja intellektipuudega vanemaga perelepituse erijuhtumi protsessis</w:t>
      </w:r>
      <w:r w:rsidR="00234E1F" w:rsidRPr="00C538FA">
        <w:rPr>
          <w:rFonts w:ascii="Arial" w:hAnsi="Arial" w:cs="Arial"/>
        </w:rPr>
        <w:t>””</w:t>
      </w:r>
      <w:r w:rsidRPr="00C538FA">
        <w:rPr>
          <w:rFonts w:ascii="Arial" w:hAnsi="Arial" w:cs="Arial"/>
        </w:rPr>
        <w:fldChar w:fldCharType="end"/>
      </w:r>
      <w:r w:rsidRPr="00C538FA">
        <w:rPr>
          <w:rFonts w:ascii="Arial" w:hAnsi="Arial" w:cs="Arial"/>
        </w:rPr>
        <w:t xml:space="preserve"> pakkumuste hindamissüsteem </w:t>
      </w:r>
    </w:p>
    <w:p w14:paraId="5658C87D" w14:textId="77777777" w:rsidR="00234E1F" w:rsidRPr="00C538FA" w:rsidRDefault="00234E1F" w:rsidP="00C538FA">
      <w:pPr>
        <w:spacing w:after="0" w:line="240" w:lineRule="auto"/>
        <w:ind w:right="-567"/>
        <w:jc w:val="both"/>
        <w:rPr>
          <w:rFonts w:ascii="Arial" w:hAnsi="Arial" w:cs="Arial"/>
        </w:rPr>
      </w:pPr>
    </w:p>
    <w:p w14:paraId="3FBE8ABD" w14:textId="77777777" w:rsidR="0056678A" w:rsidRPr="00C538FA" w:rsidRDefault="004B25A3" w:rsidP="00C538FA">
      <w:pPr>
        <w:pStyle w:val="Default"/>
        <w:rPr>
          <w:sz w:val="22"/>
          <w:szCs w:val="22"/>
        </w:rPr>
      </w:pPr>
      <w:r w:rsidRPr="00C538FA">
        <w:rPr>
          <w:sz w:val="22"/>
          <w:szCs w:val="22"/>
        </w:rPr>
        <w:t>Hindamiskriteeriumid ja -metoodika</w:t>
      </w:r>
    </w:p>
    <w:p w14:paraId="351051AA" w14:textId="77777777" w:rsidR="00234E1F" w:rsidRPr="00C538FA" w:rsidRDefault="00234E1F" w:rsidP="00C538FA">
      <w:pPr>
        <w:pStyle w:val="Default"/>
        <w:rPr>
          <w:sz w:val="22"/>
          <w:szCs w:val="22"/>
        </w:rPr>
      </w:pPr>
    </w:p>
    <w:p w14:paraId="55468380" w14:textId="3CB7C79D" w:rsidR="004B25A3" w:rsidRPr="00C538FA" w:rsidRDefault="004B25A3" w:rsidP="005D732F">
      <w:pPr>
        <w:pStyle w:val="Default"/>
        <w:numPr>
          <w:ilvl w:val="0"/>
          <w:numId w:val="3"/>
        </w:numPr>
        <w:ind w:left="284" w:hanging="284"/>
        <w:rPr>
          <w:sz w:val="22"/>
          <w:szCs w:val="22"/>
        </w:rPr>
      </w:pPr>
      <w:r w:rsidRPr="00C538FA">
        <w:rPr>
          <w:sz w:val="22"/>
          <w:szCs w:val="22"/>
        </w:rPr>
        <w:t>Tellija võrdleb ja hindab kõiki vastavaks tunnistatud pakkumusi hindamiskriteeriumide alusel.</w:t>
      </w:r>
    </w:p>
    <w:p w14:paraId="01023D3E" w14:textId="2FC994F0" w:rsidR="004B25A3" w:rsidRPr="00C538FA" w:rsidRDefault="004B25A3" w:rsidP="005D732F">
      <w:pPr>
        <w:pStyle w:val="Loendilik"/>
        <w:numPr>
          <w:ilvl w:val="0"/>
          <w:numId w:val="3"/>
        </w:numPr>
        <w:autoSpaceDE w:val="0"/>
        <w:autoSpaceDN w:val="0"/>
        <w:adjustRightInd w:val="0"/>
        <w:ind w:left="284" w:hanging="284"/>
        <w:jc w:val="both"/>
        <w:rPr>
          <w:rFonts w:ascii="Arial" w:hAnsi="Arial" w:cs="Arial"/>
          <w:sz w:val="22"/>
          <w:szCs w:val="22"/>
        </w:rPr>
      </w:pPr>
      <w:r w:rsidRPr="00C538FA">
        <w:rPr>
          <w:rFonts w:ascii="Arial" w:hAnsi="Arial" w:cs="Arial"/>
          <w:sz w:val="22"/>
          <w:szCs w:val="22"/>
        </w:rPr>
        <w:t>Hindamine viiakse läbi Hankija poolt moodustatud neljaliikmelise komisjoni poolt kollegiaalselt. Hindamiskomisjoni kuuluvad</w:t>
      </w:r>
      <w:r w:rsidR="0056678A" w:rsidRPr="00C538FA">
        <w:rPr>
          <w:rFonts w:ascii="Arial" w:hAnsi="Arial" w:cs="Arial"/>
          <w:sz w:val="22"/>
          <w:szCs w:val="22"/>
        </w:rPr>
        <w:t xml:space="preserve"> Sotsiaalkindlustusameti</w:t>
      </w:r>
      <w:r w:rsidRPr="00C538FA">
        <w:rPr>
          <w:rFonts w:ascii="Arial" w:hAnsi="Arial" w:cs="Arial"/>
          <w:sz w:val="22"/>
          <w:szCs w:val="22"/>
        </w:rPr>
        <w:t xml:space="preserve"> hankespetsialist, perelepituse tiimi juht, perelepituse tiimi peaspetsialist, koolitus</w:t>
      </w:r>
      <w:r w:rsidR="004969AD" w:rsidRPr="00C538FA">
        <w:rPr>
          <w:rFonts w:ascii="Arial" w:hAnsi="Arial" w:cs="Arial"/>
          <w:sz w:val="22"/>
          <w:szCs w:val="22"/>
        </w:rPr>
        <w:t>talitluse</w:t>
      </w:r>
      <w:r w:rsidRPr="00C538FA">
        <w:rPr>
          <w:rFonts w:ascii="Arial" w:hAnsi="Arial" w:cs="Arial"/>
          <w:sz w:val="22"/>
          <w:szCs w:val="22"/>
        </w:rPr>
        <w:t xml:space="preserve"> õpidisainer.  </w:t>
      </w:r>
    </w:p>
    <w:p w14:paraId="7614E8E1" w14:textId="77777777" w:rsidR="004B25A3" w:rsidRPr="00C538FA" w:rsidRDefault="004B25A3" w:rsidP="005D732F">
      <w:pPr>
        <w:pStyle w:val="Loendilik"/>
        <w:numPr>
          <w:ilvl w:val="0"/>
          <w:numId w:val="3"/>
        </w:numPr>
        <w:autoSpaceDE w:val="0"/>
        <w:autoSpaceDN w:val="0"/>
        <w:adjustRightInd w:val="0"/>
        <w:ind w:left="284" w:hanging="284"/>
        <w:jc w:val="both"/>
        <w:rPr>
          <w:rFonts w:ascii="Arial" w:hAnsi="Arial" w:cs="Arial"/>
          <w:sz w:val="22"/>
          <w:szCs w:val="22"/>
        </w:rPr>
      </w:pPr>
      <w:r w:rsidRPr="00C538FA">
        <w:rPr>
          <w:rFonts w:ascii="Arial" w:hAnsi="Arial" w:cs="Arial"/>
          <w:sz w:val="22"/>
          <w:szCs w:val="22"/>
        </w:rPr>
        <w:t xml:space="preserve">Eduka pakkumuse valiku aluseks on kõrgeim punktisumma, mis selgitatakse välja väärtuspunktide omistamise meetodil hanke dokumentides toodud hindamiskriteeriumide alusel. Pakkumusele antud väärtuspunktid summeeritakse. </w:t>
      </w:r>
    </w:p>
    <w:p w14:paraId="1B36F827" w14:textId="7A557279" w:rsidR="004B25A3" w:rsidRPr="00C538FA" w:rsidRDefault="004B25A3" w:rsidP="005D732F">
      <w:pPr>
        <w:pStyle w:val="Loendilik"/>
        <w:numPr>
          <w:ilvl w:val="0"/>
          <w:numId w:val="3"/>
        </w:numPr>
        <w:autoSpaceDE w:val="0"/>
        <w:autoSpaceDN w:val="0"/>
        <w:adjustRightInd w:val="0"/>
        <w:ind w:left="284" w:hanging="284"/>
        <w:jc w:val="both"/>
        <w:rPr>
          <w:rFonts w:ascii="Arial" w:hAnsi="Arial" w:cs="Arial"/>
          <w:sz w:val="22"/>
          <w:szCs w:val="22"/>
        </w:rPr>
      </w:pPr>
      <w:r w:rsidRPr="00C538FA">
        <w:rPr>
          <w:rFonts w:ascii="Arial" w:hAnsi="Arial" w:cs="Arial"/>
          <w:sz w:val="22"/>
          <w:szCs w:val="22"/>
        </w:rPr>
        <w:t>Hankija tunnistab edukaks igas osas ühe enim väärtuspunkte saanud pakkumuse. Võrdsete väärtuspunktidega pakkumuste korral tunnistatakse edukaks pakkumus, millele on omistatud „</w:t>
      </w:r>
      <w:r w:rsidR="00A45E04" w:rsidRPr="00C538FA">
        <w:rPr>
          <w:rFonts w:ascii="Arial" w:hAnsi="Arial" w:cs="Arial"/>
          <w:sz w:val="22"/>
          <w:szCs w:val="22"/>
        </w:rPr>
        <w:t>õppevahendite ja -materjalide</w:t>
      </w:r>
      <w:r w:rsidR="005D732F" w:rsidRPr="005D732F">
        <w:rPr>
          <w:rFonts w:ascii="Arial" w:hAnsi="Arial" w:cs="Arial"/>
          <w:sz w:val="22"/>
          <w:szCs w:val="22"/>
        </w:rPr>
        <w:t>”</w:t>
      </w:r>
      <w:r w:rsidRPr="00C538FA">
        <w:rPr>
          <w:rFonts w:ascii="Arial" w:hAnsi="Arial" w:cs="Arial"/>
          <w:sz w:val="22"/>
          <w:szCs w:val="22"/>
        </w:rPr>
        <w:t xml:space="preserve"> kriteeriumi eest suurim arv väärtuspunkte.</w:t>
      </w:r>
    </w:p>
    <w:p w14:paraId="26DA9FC0" w14:textId="77777777" w:rsidR="004B25A3" w:rsidRPr="00C538FA" w:rsidRDefault="004B25A3" w:rsidP="005D732F">
      <w:pPr>
        <w:pStyle w:val="Loendilik"/>
        <w:numPr>
          <w:ilvl w:val="0"/>
          <w:numId w:val="3"/>
        </w:numPr>
        <w:autoSpaceDE w:val="0"/>
        <w:autoSpaceDN w:val="0"/>
        <w:adjustRightInd w:val="0"/>
        <w:ind w:left="284" w:hanging="284"/>
        <w:jc w:val="both"/>
        <w:rPr>
          <w:rFonts w:ascii="Arial" w:hAnsi="Arial" w:cs="Arial"/>
          <w:sz w:val="22"/>
          <w:szCs w:val="22"/>
        </w:rPr>
      </w:pPr>
      <w:r w:rsidRPr="00C538FA">
        <w:rPr>
          <w:rFonts w:ascii="Arial" w:hAnsi="Arial" w:cs="Arial"/>
          <w:sz w:val="22"/>
          <w:szCs w:val="22"/>
        </w:rPr>
        <w:t>Pakkumuste hindamiskriteeriumid 100 väärtuspunkti skaalal on järgnevad:</w:t>
      </w:r>
    </w:p>
    <w:p w14:paraId="7FA0A10F" w14:textId="77777777" w:rsidR="0078042C" w:rsidRPr="00C538FA" w:rsidRDefault="0078042C" w:rsidP="00C538FA">
      <w:pPr>
        <w:spacing w:after="0" w:line="240" w:lineRule="auto"/>
        <w:ind w:right="-567"/>
        <w:jc w:val="both"/>
        <w:rPr>
          <w:rFonts w:ascii="Arial" w:hAnsi="Arial" w:cs="Arial"/>
        </w:rPr>
      </w:pPr>
    </w:p>
    <w:p w14:paraId="4DDD2B45" w14:textId="52BB9112" w:rsidR="0056678A" w:rsidRPr="00C538FA" w:rsidRDefault="0078042C" w:rsidP="00C538FA">
      <w:pPr>
        <w:pStyle w:val="Loendilik"/>
        <w:numPr>
          <w:ilvl w:val="0"/>
          <w:numId w:val="2"/>
        </w:numPr>
        <w:ind w:right="-567"/>
        <w:jc w:val="both"/>
        <w:rPr>
          <w:rFonts w:ascii="Arial" w:eastAsia="Calibri" w:hAnsi="Arial" w:cs="Arial"/>
          <w:sz w:val="22"/>
          <w:szCs w:val="22"/>
        </w:rPr>
      </w:pPr>
      <w:r w:rsidRPr="00C538FA">
        <w:rPr>
          <w:rFonts w:ascii="Arial" w:eastAsia="Calibri" w:hAnsi="Arial" w:cs="Arial"/>
          <w:b/>
          <w:bCs/>
          <w:sz w:val="22"/>
          <w:szCs w:val="22"/>
        </w:rPr>
        <w:t>Pakkumuse maksumus</w:t>
      </w:r>
      <w:r w:rsidRPr="00C538FA">
        <w:rPr>
          <w:rFonts w:ascii="Arial" w:eastAsia="Calibri" w:hAnsi="Arial" w:cs="Arial"/>
          <w:sz w:val="22"/>
          <w:szCs w:val="22"/>
        </w:rPr>
        <w:t xml:space="preserve"> (osakaal 45%, kuni 45 p)</w:t>
      </w:r>
      <w:r w:rsidR="0056678A" w:rsidRPr="00C538FA">
        <w:rPr>
          <w:rFonts w:ascii="Arial" w:eastAsia="Calibri" w:hAnsi="Arial" w:cs="Arial"/>
          <w:sz w:val="22"/>
          <w:szCs w:val="22"/>
        </w:rPr>
        <w:t>:</w:t>
      </w:r>
    </w:p>
    <w:p w14:paraId="7C449B54" w14:textId="7F2C1AC6" w:rsidR="00A45E04" w:rsidRPr="00C538FA" w:rsidRDefault="0078042C" w:rsidP="00C538FA">
      <w:pPr>
        <w:pStyle w:val="Loendilik"/>
        <w:ind w:left="0"/>
        <w:jc w:val="both"/>
        <w:rPr>
          <w:rFonts w:ascii="Arial" w:eastAsia="Calibri" w:hAnsi="Arial" w:cs="Arial"/>
          <w:sz w:val="22"/>
          <w:szCs w:val="22"/>
        </w:rPr>
      </w:pPr>
      <w:r w:rsidRPr="00C538FA">
        <w:rPr>
          <w:rFonts w:ascii="Arial" w:eastAsia="Calibri" w:hAnsi="Arial" w:cs="Arial"/>
          <w:sz w:val="22"/>
          <w:szCs w:val="22"/>
        </w:rPr>
        <w:t>Madalaima maksumusega pakkumus täiendkoolituse valitud moodulile saab maksimaalse arvu punkte – 45 punkti. Teised pakkumused saavad punkte proportsionaalselt vähem ja  arvutatakse valemiga: „</w:t>
      </w:r>
      <w:r w:rsidRPr="00C538FA">
        <w:rPr>
          <w:rFonts w:ascii="Arial" w:hAnsi="Arial" w:cs="Arial"/>
          <w:sz w:val="22"/>
          <w:szCs w:val="22"/>
        </w:rPr>
        <w:t>madalaima väärtusega pakkumus</w:t>
      </w:r>
      <w:r w:rsidR="005D732F" w:rsidRPr="005D732F">
        <w:rPr>
          <w:rFonts w:ascii="Arial" w:hAnsi="Arial" w:cs="Arial"/>
          <w:sz w:val="22"/>
          <w:szCs w:val="22"/>
        </w:rPr>
        <w:t>”</w:t>
      </w:r>
      <w:r w:rsidRPr="00C538FA">
        <w:rPr>
          <w:rFonts w:ascii="Arial" w:hAnsi="Arial" w:cs="Arial"/>
          <w:sz w:val="22"/>
          <w:szCs w:val="22"/>
        </w:rPr>
        <w:t xml:space="preserve"> / „pakkumuse väärtus</w:t>
      </w:r>
      <w:r w:rsidR="005D732F" w:rsidRPr="005D732F">
        <w:rPr>
          <w:rFonts w:ascii="Arial" w:hAnsi="Arial" w:cs="Arial"/>
          <w:sz w:val="22"/>
          <w:szCs w:val="22"/>
        </w:rPr>
        <w:t>”</w:t>
      </w:r>
      <w:r w:rsidRPr="00C538FA">
        <w:rPr>
          <w:rFonts w:ascii="Arial" w:hAnsi="Arial" w:cs="Arial"/>
          <w:sz w:val="22"/>
          <w:szCs w:val="22"/>
        </w:rPr>
        <w:t xml:space="preserve"> * 45.</w:t>
      </w:r>
    </w:p>
    <w:p w14:paraId="1E18892D" w14:textId="77777777" w:rsidR="00A45E04" w:rsidRPr="00C538FA" w:rsidRDefault="00A45E04" w:rsidP="00C538FA">
      <w:pPr>
        <w:pStyle w:val="Loendilik"/>
        <w:ind w:left="0"/>
        <w:jc w:val="both"/>
        <w:rPr>
          <w:rFonts w:ascii="Arial" w:eastAsia="Calibri" w:hAnsi="Arial" w:cs="Arial"/>
          <w:sz w:val="22"/>
          <w:szCs w:val="22"/>
        </w:rPr>
      </w:pPr>
    </w:p>
    <w:p w14:paraId="1FBA560A" w14:textId="7FB4FEEF" w:rsidR="0056678A" w:rsidRPr="00C538FA" w:rsidRDefault="0078042C" w:rsidP="00C538FA">
      <w:pPr>
        <w:pStyle w:val="Loendilik"/>
        <w:numPr>
          <w:ilvl w:val="0"/>
          <w:numId w:val="2"/>
        </w:numPr>
        <w:jc w:val="both"/>
        <w:rPr>
          <w:rFonts w:ascii="Arial" w:eastAsia="Calibri" w:hAnsi="Arial" w:cs="Arial"/>
          <w:sz w:val="22"/>
          <w:szCs w:val="22"/>
        </w:rPr>
      </w:pPr>
      <w:r w:rsidRPr="00C538FA">
        <w:rPr>
          <w:rFonts w:ascii="Arial" w:eastAsia="Calibri" w:hAnsi="Arial" w:cs="Arial"/>
          <w:b/>
          <w:bCs/>
          <w:sz w:val="22"/>
          <w:szCs w:val="22"/>
        </w:rPr>
        <w:t>Õppevahendid- ja materjalid</w:t>
      </w:r>
      <w:r w:rsidRPr="00C538FA">
        <w:rPr>
          <w:rFonts w:ascii="Arial" w:eastAsia="Calibri" w:hAnsi="Arial" w:cs="Arial"/>
          <w:sz w:val="22"/>
          <w:szCs w:val="22"/>
        </w:rPr>
        <w:t xml:space="preserve"> (osakaal 30%, kuni 30 p)</w:t>
      </w:r>
      <w:r w:rsidR="0056678A" w:rsidRPr="00C538FA">
        <w:rPr>
          <w:rFonts w:ascii="Arial" w:eastAsia="Calibri" w:hAnsi="Arial" w:cs="Arial"/>
          <w:sz w:val="22"/>
          <w:szCs w:val="22"/>
        </w:rPr>
        <w:t>:</w:t>
      </w:r>
    </w:p>
    <w:p w14:paraId="71405FE7" w14:textId="77777777" w:rsidR="0056678A" w:rsidRPr="00C538FA" w:rsidRDefault="0078042C" w:rsidP="00C538FA">
      <w:pPr>
        <w:pStyle w:val="Loendilik"/>
        <w:ind w:left="0"/>
        <w:jc w:val="both"/>
        <w:rPr>
          <w:rFonts w:ascii="Arial" w:eastAsia="Calibri" w:hAnsi="Arial" w:cs="Arial"/>
          <w:sz w:val="22"/>
          <w:szCs w:val="22"/>
        </w:rPr>
      </w:pPr>
      <w:r w:rsidRPr="00C538FA">
        <w:rPr>
          <w:rFonts w:ascii="Arial" w:eastAsia="Calibri" w:hAnsi="Arial" w:cs="Arial"/>
          <w:b/>
          <w:bCs/>
          <w:sz w:val="22"/>
          <w:szCs w:val="22"/>
        </w:rPr>
        <w:t>Kriteerium</w:t>
      </w:r>
      <w:r w:rsidRPr="00C538FA">
        <w:rPr>
          <w:rFonts w:ascii="Arial" w:eastAsia="Calibri" w:hAnsi="Arial" w:cs="Arial"/>
          <w:sz w:val="22"/>
          <w:szCs w:val="22"/>
        </w:rPr>
        <w:t xml:space="preserve">: õppevahendite ja -materjalide valik toetab õppeprotsessi läbiviimist ning õppekavas nimetatud õpiväljundite saavutamist. </w:t>
      </w:r>
    </w:p>
    <w:p w14:paraId="5E6000F1" w14:textId="77777777" w:rsidR="0056678A" w:rsidRPr="00C538FA" w:rsidRDefault="0056678A" w:rsidP="00C538FA">
      <w:pPr>
        <w:pStyle w:val="Loendilik"/>
        <w:ind w:left="0"/>
        <w:jc w:val="both"/>
        <w:rPr>
          <w:rFonts w:ascii="Arial" w:eastAsia="Calibri" w:hAnsi="Arial" w:cs="Arial"/>
          <w:sz w:val="22"/>
          <w:szCs w:val="22"/>
        </w:rPr>
      </w:pPr>
    </w:p>
    <w:p w14:paraId="0FEAEF13" w14:textId="77777777" w:rsidR="0056678A" w:rsidRPr="00C538FA" w:rsidRDefault="0078042C" w:rsidP="00C538FA">
      <w:pPr>
        <w:pStyle w:val="Loendilik"/>
        <w:ind w:left="0"/>
        <w:jc w:val="both"/>
        <w:rPr>
          <w:rFonts w:ascii="Arial" w:eastAsia="Calibri" w:hAnsi="Arial" w:cs="Arial"/>
          <w:sz w:val="22"/>
          <w:szCs w:val="22"/>
        </w:rPr>
      </w:pPr>
      <w:r w:rsidRPr="00C538FA">
        <w:rPr>
          <w:rFonts w:ascii="Arial" w:eastAsia="Calibri" w:hAnsi="Arial" w:cs="Arial"/>
          <w:b/>
          <w:bCs/>
          <w:sz w:val="22"/>
          <w:szCs w:val="22"/>
        </w:rPr>
        <w:t>30 p – vastab täielikult:</w:t>
      </w:r>
      <w:r w:rsidRPr="00C538FA">
        <w:rPr>
          <w:rFonts w:ascii="Arial" w:eastAsia="Calibri" w:hAnsi="Arial" w:cs="Arial"/>
          <w:sz w:val="22"/>
          <w:szCs w:val="22"/>
        </w:rPr>
        <w:t xml:space="preserve"> koolitaja poolt nimetatud (planeeritavad ja kasutatavad) õppevahendid toetavad täies ulatuses mooduli õppeprotsessi läbiviimist, materjalide kirjeldus on asjakohane ning ülevaade kavandatavast juhendmaterjalist on nõuetekohaselt viidatud ja vormistatud.</w:t>
      </w:r>
    </w:p>
    <w:p w14:paraId="7FF38F1B" w14:textId="77777777" w:rsidR="0056678A" w:rsidRPr="00C538FA" w:rsidRDefault="0056678A" w:rsidP="00C538FA">
      <w:pPr>
        <w:pStyle w:val="Loendilik"/>
        <w:ind w:left="0"/>
        <w:jc w:val="both"/>
        <w:rPr>
          <w:rFonts w:ascii="Arial" w:eastAsia="Calibri" w:hAnsi="Arial" w:cs="Arial"/>
          <w:sz w:val="22"/>
          <w:szCs w:val="22"/>
        </w:rPr>
      </w:pPr>
    </w:p>
    <w:p w14:paraId="6643F28C" w14:textId="0AB6C21E" w:rsidR="0056678A" w:rsidRPr="00C538FA" w:rsidRDefault="0078042C" w:rsidP="00C538FA">
      <w:pPr>
        <w:pStyle w:val="Loendilik"/>
        <w:ind w:left="0"/>
        <w:jc w:val="both"/>
        <w:rPr>
          <w:rFonts w:ascii="Arial" w:eastAsia="Calibri" w:hAnsi="Arial" w:cs="Arial"/>
          <w:sz w:val="22"/>
          <w:szCs w:val="22"/>
        </w:rPr>
      </w:pPr>
      <w:r w:rsidRPr="00C538FA">
        <w:rPr>
          <w:rFonts w:ascii="Arial" w:eastAsia="Calibri" w:hAnsi="Arial" w:cs="Arial"/>
          <w:b/>
          <w:bCs/>
          <w:sz w:val="22"/>
          <w:szCs w:val="22"/>
        </w:rPr>
        <w:t>15 p – vastab osaliselt:</w:t>
      </w:r>
      <w:r w:rsidRPr="00C538FA">
        <w:rPr>
          <w:rFonts w:ascii="Arial" w:eastAsia="Calibri" w:hAnsi="Arial" w:cs="Arial"/>
          <w:sz w:val="22"/>
          <w:szCs w:val="22"/>
        </w:rPr>
        <w:t xml:space="preserve"> enamik nimetatud (planeeritavatest ja kasutavatest) materjalidest toetavad õppeprotsessi läbiviimist ja toetavad enamike õpiväljundite saavutamist. Esineb üksikuid õppematerjale, mille kasutamine ei ole põhjendatud. Ülevaade loodavast juhendmaterjalist nõuetekohaselt viidatud ja vormistatud. </w:t>
      </w:r>
    </w:p>
    <w:p w14:paraId="2041AC4D" w14:textId="77777777" w:rsidR="00A45E04" w:rsidRPr="00C538FA" w:rsidRDefault="00A45E04" w:rsidP="00C538FA">
      <w:pPr>
        <w:pStyle w:val="Loendilik"/>
        <w:ind w:left="0"/>
        <w:jc w:val="both"/>
        <w:rPr>
          <w:rFonts w:ascii="Arial" w:eastAsia="Calibri" w:hAnsi="Arial" w:cs="Arial"/>
          <w:sz w:val="22"/>
          <w:szCs w:val="22"/>
        </w:rPr>
      </w:pPr>
    </w:p>
    <w:p w14:paraId="1EA8F2C0" w14:textId="136EB5E5" w:rsidR="00A45E04" w:rsidRPr="00C538FA" w:rsidRDefault="00A45E04" w:rsidP="00C538FA">
      <w:pPr>
        <w:spacing w:after="0" w:line="240" w:lineRule="auto"/>
        <w:jc w:val="both"/>
        <w:rPr>
          <w:rFonts w:ascii="Arial" w:hAnsi="Arial" w:cs="Arial"/>
        </w:rPr>
      </w:pPr>
      <w:r w:rsidRPr="00C538FA">
        <w:rPr>
          <w:rFonts w:ascii="Arial" w:hAnsi="Arial" w:cs="Arial"/>
          <w:b/>
          <w:bCs/>
        </w:rPr>
        <w:t xml:space="preserve">0 </w:t>
      </w:r>
      <w:r w:rsidR="0078042C" w:rsidRPr="00C538FA">
        <w:rPr>
          <w:rFonts w:ascii="Arial" w:hAnsi="Arial" w:cs="Arial"/>
          <w:b/>
          <w:bCs/>
        </w:rPr>
        <w:t>p – ei vasta või vastab vähesel määral:</w:t>
      </w:r>
      <w:r w:rsidR="0078042C" w:rsidRPr="00C538FA">
        <w:rPr>
          <w:rFonts w:ascii="Arial" w:hAnsi="Arial" w:cs="Arial"/>
        </w:rPr>
        <w:t xml:space="preserve"> nimetatud (planeeritavad ja kasutatavad) õppematerjalid ei toeta või toetavad vähesel määral õppeprotsessi läbiviimist ja õpiväljundite saavutamist. Õppematerjalide valik on põhjendamata või ülevaates esineb plagiaati.</w:t>
      </w:r>
    </w:p>
    <w:p w14:paraId="1944C73E" w14:textId="77777777" w:rsidR="00A45E04" w:rsidRPr="00C538FA" w:rsidRDefault="00A45E04" w:rsidP="00C538FA">
      <w:pPr>
        <w:spacing w:after="0" w:line="240" w:lineRule="auto"/>
        <w:jc w:val="both"/>
        <w:rPr>
          <w:rFonts w:ascii="Arial" w:hAnsi="Arial" w:cs="Arial"/>
        </w:rPr>
      </w:pPr>
    </w:p>
    <w:p w14:paraId="09664439" w14:textId="15C85846" w:rsidR="0056678A" w:rsidRPr="00C538FA" w:rsidRDefault="007354DF" w:rsidP="00C538FA">
      <w:pPr>
        <w:pStyle w:val="Loendilik"/>
        <w:numPr>
          <w:ilvl w:val="0"/>
          <w:numId w:val="2"/>
        </w:numPr>
        <w:ind w:left="357" w:hanging="357"/>
        <w:jc w:val="both"/>
        <w:rPr>
          <w:rFonts w:ascii="Arial" w:eastAsia="Calibri" w:hAnsi="Arial" w:cs="Arial"/>
          <w:sz w:val="22"/>
          <w:szCs w:val="22"/>
        </w:rPr>
      </w:pPr>
      <w:r w:rsidRPr="00C538FA">
        <w:rPr>
          <w:rFonts w:ascii="Arial" w:eastAsia="Calibri" w:hAnsi="Arial" w:cs="Arial"/>
          <w:b/>
          <w:bCs/>
          <w:sz w:val="22"/>
          <w:szCs w:val="22"/>
        </w:rPr>
        <w:t>Kasutatavad õppemeetodid</w:t>
      </w:r>
      <w:r w:rsidR="0078042C" w:rsidRPr="00C538FA">
        <w:rPr>
          <w:rFonts w:ascii="Arial" w:eastAsia="Calibri" w:hAnsi="Arial" w:cs="Arial"/>
          <w:b/>
          <w:bCs/>
          <w:sz w:val="22"/>
          <w:szCs w:val="22"/>
        </w:rPr>
        <w:t xml:space="preserve"> ja valiku põhjendused</w:t>
      </w:r>
      <w:r w:rsidR="0056678A" w:rsidRPr="00C538FA">
        <w:rPr>
          <w:rFonts w:ascii="Arial" w:eastAsia="Calibri" w:hAnsi="Arial" w:cs="Arial"/>
          <w:sz w:val="22"/>
          <w:szCs w:val="22"/>
        </w:rPr>
        <w:t xml:space="preserve"> (osakaal 25%, kuni 25 p):</w:t>
      </w:r>
    </w:p>
    <w:p w14:paraId="00FE042F" w14:textId="53D524DB" w:rsidR="0056678A" w:rsidRPr="00C538FA" w:rsidRDefault="0078042C" w:rsidP="00C538FA">
      <w:pPr>
        <w:pStyle w:val="Loendilik"/>
        <w:ind w:left="0"/>
        <w:jc w:val="both"/>
        <w:rPr>
          <w:rFonts w:ascii="Arial" w:hAnsi="Arial" w:cs="Arial"/>
          <w:iCs/>
          <w:sz w:val="22"/>
          <w:szCs w:val="22"/>
        </w:rPr>
      </w:pPr>
      <w:r w:rsidRPr="00C538FA">
        <w:rPr>
          <w:rFonts w:ascii="Arial" w:hAnsi="Arial" w:cs="Arial"/>
          <w:b/>
          <w:bCs/>
          <w:iCs/>
          <w:sz w:val="22"/>
          <w:szCs w:val="22"/>
        </w:rPr>
        <w:t>Kriteerium:</w:t>
      </w:r>
      <w:r w:rsidRPr="00C538FA">
        <w:rPr>
          <w:rFonts w:ascii="Arial" w:hAnsi="Arial" w:cs="Arial"/>
          <w:iCs/>
          <w:sz w:val="22"/>
          <w:szCs w:val="22"/>
        </w:rPr>
        <w:t xml:space="preserve"> metoodika toetab sihtrühma vajadusi, õpiväljundite ja eesmärkide saavutamist. </w:t>
      </w:r>
    </w:p>
    <w:p w14:paraId="2E346263" w14:textId="77777777" w:rsidR="0056678A" w:rsidRPr="00C538FA" w:rsidRDefault="0056678A" w:rsidP="00C538FA">
      <w:pPr>
        <w:pStyle w:val="Loendilik"/>
        <w:ind w:left="0"/>
        <w:jc w:val="both"/>
        <w:rPr>
          <w:rFonts w:ascii="Arial" w:hAnsi="Arial" w:cs="Arial"/>
          <w:b/>
          <w:bCs/>
          <w:iCs/>
          <w:sz w:val="22"/>
          <w:szCs w:val="22"/>
        </w:rPr>
      </w:pPr>
    </w:p>
    <w:p w14:paraId="420C22D7" w14:textId="77777777" w:rsidR="0056678A" w:rsidRPr="00C538FA" w:rsidRDefault="0056678A" w:rsidP="00C538FA">
      <w:pPr>
        <w:pStyle w:val="Loendilik"/>
        <w:ind w:left="0"/>
        <w:jc w:val="both"/>
        <w:rPr>
          <w:rFonts w:ascii="Arial" w:hAnsi="Arial" w:cs="Arial"/>
          <w:iCs/>
          <w:sz w:val="22"/>
          <w:szCs w:val="22"/>
        </w:rPr>
      </w:pPr>
      <w:r w:rsidRPr="00C538FA">
        <w:rPr>
          <w:rFonts w:ascii="Arial" w:hAnsi="Arial" w:cs="Arial"/>
          <w:b/>
          <w:bCs/>
          <w:iCs/>
          <w:sz w:val="22"/>
          <w:szCs w:val="22"/>
        </w:rPr>
        <w:t xml:space="preserve">25 p </w:t>
      </w:r>
      <w:r w:rsidR="0078042C" w:rsidRPr="00C538FA">
        <w:rPr>
          <w:rFonts w:ascii="Arial" w:hAnsi="Arial" w:cs="Arial"/>
          <w:b/>
          <w:bCs/>
          <w:iCs/>
          <w:sz w:val="22"/>
          <w:szCs w:val="22"/>
        </w:rPr>
        <w:t>– vastab täielikult</w:t>
      </w:r>
      <w:r w:rsidR="0078042C" w:rsidRPr="00C538FA">
        <w:rPr>
          <w:rFonts w:ascii="Arial" w:hAnsi="Arial" w:cs="Arial"/>
          <w:iCs/>
          <w:sz w:val="22"/>
          <w:szCs w:val="22"/>
        </w:rPr>
        <w:t>: metoodika on mitmekülgne ja põhjendatud, toetades koolituse eesmärki, oodatavat tulemust ja teooria praktilist kinnitamist. Õppemeetodite planeerimisel on lähtutud tänapäevastest täiskasvanukoolituse põhimõtetest ning meetoditest, on kasutatud aktiivset osalust toetavaid meetodeid (sh grupi- ja juhtumiarutelud, kaasuste lahendamine ja protsessi läbimäng), meetodid soodustavad omavahelise kogemuse jagamist, teistelt õppimist ja parimate praktikate omandamist kasutades grupi maksimaalset potentsiaali.</w:t>
      </w:r>
    </w:p>
    <w:p w14:paraId="118A9F0F" w14:textId="77777777" w:rsidR="00C577F6" w:rsidRPr="00C538FA" w:rsidRDefault="00C577F6" w:rsidP="00C538FA">
      <w:pPr>
        <w:pStyle w:val="Loendilik"/>
        <w:ind w:left="0"/>
        <w:jc w:val="both"/>
        <w:rPr>
          <w:rFonts w:ascii="Arial" w:hAnsi="Arial" w:cs="Arial"/>
          <w:b/>
          <w:bCs/>
          <w:iCs/>
          <w:sz w:val="22"/>
          <w:szCs w:val="22"/>
        </w:rPr>
      </w:pPr>
    </w:p>
    <w:p w14:paraId="7A3A30A6" w14:textId="303F902B" w:rsidR="0056678A" w:rsidRPr="00C538FA" w:rsidRDefault="0056678A" w:rsidP="00C538FA">
      <w:pPr>
        <w:pStyle w:val="Loendilik"/>
        <w:ind w:left="0"/>
        <w:jc w:val="both"/>
        <w:rPr>
          <w:rFonts w:ascii="Arial" w:hAnsi="Arial" w:cs="Arial"/>
          <w:iCs/>
          <w:sz w:val="22"/>
          <w:szCs w:val="22"/>
        </w:rPr>
      </w:pPr>
      <w:r w:rsidRPr="00C538FA">
        <w:rPr>
          <w:rFonts w:ascii="Arial" w:hAnsi="Arial" w:cs="Arial"/>
          <w:b/>
          <w:bCs/>
          <w:iCs/>
          <w:sz w:val="22"/>
          <w:szCs w:val="22"/>
        </w:rPr>
        <w:t xml:space="preserve">15 p - </w:t>
      </w:r>
      <w:r w:rsidR="0078042C" w:rsidRPr="00C538FA">
        <w:rPr>
          <w:rFonts w:ascii="Arial" w:hAnsi="Arial" w:cs="Arial"/>
          <w:b/>
          <w:bCs/>
          <w:iCs/>
          <w:sz w:val="22"/>
          <w:szCs w:val="22"/>
        </w:rPr>
        <w:t>vastab osaliselt:</w:t>
      </w:r>
      <w:r w:rsidR="0078042C" w:rsidRPr="00C538FA">
        <w:rPr>
          <w:rFonts w:ascii="Arial" w:hAnsi="Arial" w:cs="Arial"/>
          <w:iCs/>
          <w:sz w:val="22"/>
          <w:szCs w:val="22"/>
        </w:rPr>
        <w:t xml:space="preserve"> metoodika on suures osas läbi mõeldud, toetab koolituse eesmärki, oodatavat tulemust ja teooria praktilist kinnitamist. On lähtutud üldjoontes tänapäevastest täiskasvanukoolituse põhimõtetest ning meetoditest.</w:t>
      </w:r>
    </w:p>
    <w:p w14:paraId="5259B2F5" w14:textId="77777777" w:rsidR="0056678A" w:rsidRPr="00C538FA" w:rsidRDefault="0056678A" w:rsidP="00C538FA">
      <w:pPr>
        <w:pStyle w:val="Loendilik"/>
        <w:ind w:left="0"/>
        <w:jc w:val="both"/>
        <w:rPr>
          <w:rFonts w:ascii="Arial" w:hAnsi="Arial" w:cs="Arial"/>
          <w:b/>
          <w:bCs/>
          <w:iCs/>
          <w:sz w:val="22"/>
          <w:szCs w:val="22"/>
        </w:rPr>
      </w:pPr>
    </w:p>
    <w:p w14:paraId="7FF0F9F4" w14:textId="375B7D6B" w:rsidR="0078042C" w:rsidRPr="00C538FA" w:rsidRDefault="0078042C" w:rsidP="00C538FA">
      <w:pPr>
        <w:pStyle w:val="Loendilik"/>
        <w:ind w:left="0"/>
        <w:jc w:val="both"/>
        <w:rPr>
          <w:rFonts w:ascii="Arial" w:eastAsia="Calibri" w:hAnsi="Arial" w:cs="Arial"/>
          <w:sz w:val="22"/>
          <w:szCs w:val="22"/>
        </w:rPr>
      </w:pPr>
      <w:r w:rsidRPr="00C538FA">
        <w:rPr>
          <w:rFonts w:ascii="Arial" w:hAnsi="Arial" w:cs="Arial"/>
          <w:b/>
          <w:bCs/>
          <w:iCs/>
          <w:sz w:val="22"/>
          <w:szCs w:val="22"/>
        </w:rPr>
        <w:t>0p – ei vasta või vastab vähesel määral</w:t>
      </w:r>
      <w:r w:rsidRPr="00C538FA">
        <w:rPr>
          <w:rFonts w:ascii="Arial" w:hAnsi="Arial" w:cs="Arial"/>
          <w:iCs/>
          <w:sz w:val="22"/>
          <w:szCs w:val="22"/>
        </w:rPr>
        <w:t xml:space="preserve">: metoodika on läbi mõtlemata ning põhjendamata, toetab vähesel määral koolituse eesmärki ja teooria praktilist kinnitamist. </w:t>
      </w:r>
      <w:r w:rsidR="007354DF" w:rsidRPr="00C538FA">
        <w:rPr>
          <w:rFonts w:ascii="Arial" w:hAnsi="Arial" w:cs="Arial"/>
          <w:iCs/>
          <w:sz w:val="22"/>
          <w:szCs w:val="22"/>
        </w:rPr>
        <w:t>Õppe</w:t>
      </w:r>
      <w:r w:rsidRPr="00C538FA">
        <w:rPr>
          <w:rFonts w:ascii="Arial" w:hAnsi="Arial" w:cs="Arial"/>
          <w:iCs/>
          <w:sz w:val="22"/>
          <w:szCs w:val="22"/>
        </w:rPr>
        <w:t>meetodid ei toeta või toeta</w:t>
      </w:r>
      <w:r w:rsidR="007354DF" w:rsidRPr="00C538FA">
        <w:rPr>
          <w:rFonts w:ascii="Arial" w:hAnsi="Arial" w:cs="Arial"/>
          <w:iCs/>
          <w:sz w:val="22"/>
          <w:szCs w:val="22"/>
        </w:rPr>
        <w:t>vad</w:t>
      </w:r>
      <w:r w:rsidRPr="00C538FA">
        <w:rPr>
          <w:rFonts w:ascii="Arial" w:hAnsi="Arial" w:cs="Arial"/>
          <w:iCs/>
          <w:sz w:val="22"/>
          <w:szCs w:val="22"/>
        </w:rPr>
        <w:t xml:space="preserve"> vähesel määral omavahelise kogemuse jagamist, teistelt õppimist ja parimate praktikate omandamist.</w:t>
      </w:r>
    </w:p>
    <w:sectPr w:rsidR="0078042C" w:rsidRPr="00C538FA" w:rsidSect="00C538FA">
      <w:footerReference w:type="default" r:id="rId7"/>
      <w:pgSz w:w="11906" w:h="16838"/>
      <w:pgMar w:top="568" w:right="85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04D3" w14:textId="77777777" w:rsidR="0056678A" w:rsidRDefault="0056678A" w:rsidP="0056678A">
      <w:pPr>
        <w:spacing w:after="0" w:line="240" w:lineRule="auto"/>
      </w:pPr>
      <w:r>
        <w:separator/>
      </w:r>
    </w:p>
  </w:endnote>
  <w:endnote w:type="continuationSeparator" w:id="0">
    <w:p w14:paraId="5635081C" w14:textId="77777777" w:rsidR="0056678A" w:rsidRDefault="0056678A" w:rsidP="0056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30D2" w14:textId="0F66F23E" w:rsidR="0056678A" w:rsidRPr="0056678A" w:rsidRDefault="0056678A">
    <w:pPr>
      <w:pStyle w:val="Jalus"/>
      <w:rPr>
        <w:rFonts w:ascii="Arial" w:hAnsi="Arial" w:cs="Arial"/>
      </w:rPr>
    </w:pPr>
  </w:p>
  <w:p w14:paraId="6C0377E2" w14:textId="77777777" w:rsidR="0056678A" w:rsidRDefault="0056678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3A6D" w14:textId="77777777" w:rsidR="0056678A" w:rsidRDefault="0056678A" w:rsidP="0056678A">
      <w:pPr>
        <w:spacing w:after="0" w:line="240" w:lineRule="auto"/>
      </w:pPr>
      <w:r>
        <w:separator/>
      </w:r>
    </w:p>
  </w:footnote>
  <w:footnote w:type="continuationSeparator" w:id="0">
    <w:p w14:paraId="39AD1715" w14:textId="77777777" w:rsidR="0056678A" w:rsidRDefault="0056678A" w:rsidP="0056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B85407B"/>
    <w:multiLevelType w:val="hybridMultilevel"/>
    <w:tmpl w:val="E2E0613C"/>
    <w:lvl w:ilvl="0" w:tplc="C8A28018">
      <w:start w:val="1"/>
      <w:numFmt w:val="decimal"/>
      <w:lvlText w:val="%1."/>
      <w:lvlJc w:val="left"/>
      <w:pPr>
        <w:ind w:left="65" w:hanging="360"/>
      </w:pPr>
      <w:rPr>
        <w:rFonts w:ascii="Arial" w:eastAsia="Calibri" w:hAnsi="Arial" w:cs="Arial"/>
      </w:rPr>
    </w:lvl>
    <w:lvl w:ilvl="1" w:tplc="04250019" w:tentative="1">
      <w:start w:val="1"/>
      <w:numFmt w:val="lowerLetter"/>
      <w:lvlText w:val="%2."/>
      <w:lvlJc w:val="left"/>
      <w:pPr>
        <w:ind w:left="785" w:hanging="360"/>
      </w:pPr>
    </w:lvl>
    <w:lvl w:ilvl="2" w:tplc="0425001B" w:tentative="1">
      <w:start w:val="1"/>
      <w:numFmt w:val="lowerRoman"/>
      <w:lvlText w:val="%3."/>
      <w:lvlJc w:val="right"/>
      <w:pPr>
        <w:ind w:left="1505" w:hanging="180"/>
      </w:pPr>
    </w:lvl>
    <w:lvl w:ilvl="3" w:tplc="0425000F" w:tentative="1">
      <w:start w:val="1"/>
      <w:numFmt w:val="decimal"/>
      <w:lvlText w:val="%4."/>
      <w:lvlJc w:val="left"/>
      <w:pPr>
        <w:ind w:left="2225" w:hanging="360"/>
      </w:pPr>
    </w:lvl>
    <w:lvl w:ilvl="4" w:tplc="04250019" w:tentative="1">
      <w:start w:val="1"/>
      <w:numFmt w:val="lowerLetter"/>
      <w:lvlText w:val="%5."/>
      <w:lvlJc w:val="left"/>
      <w:pPr>
        <w:ind w:left="2945" w:hanging="360"/>
      </w:pPr>
    </w:lvl>
    <w:lvl w:ilvl="5" w:tplc="0425001B" w:tentative="1">
      <w:start w:val="1"/>
      <w:numFmt w:val="lowerRoman"/>
      <w:lvlText w:val="%6."/>
      <w:lvlJc w:val="right"/>
      <w:pPr>
        <w:ind w:left="3665" w:hanging="180"/>
      </w:pPr>
    </w:lvl>
    <w:lvl w:ilvl="6" w:tplc="0425000F" w:tentative="1">
      <w:start w:val="1"/>
      <w:numFmt w:val="decimal"/>
      <w:lvlText w:val="%7."/>
      <w:lvlJc w:val="left"/>
      <w:pPr>
        <w:ind w:left="4385" w:hanging="360"/>
      </w:pPr>
    </w:lvl>
    <w:lvl w:ilvl="7" w:tplc="04250019" w:tentative="1">
      <w:start w:val="1"/>
      <w:numFmt w:val="lowerLetter"/>
      <w:lvlText w:val="%8."/>
      <w:lvlJc w:val="left"/>
      <w:pPr>
        <w:ind w:left="5105" w:hanging="360"/>
      </w:pPr>
    </w:lvl>
    <w:lvl w:ilvl="8" w:tplc="0425001B" w:tentative="1">
      <w:start w:val="1"/>
      <w:numFmt w:val="lowerRoman"/>
      <w:lvlText w:val="%9."/>
      <w:lvlJc w:val="right"/>
      <w:pPr>
        <w:ind w:left="5825" w:hanging="180"/>
      </w:pPr>
    </w:lvl>
  </w:abstractNum>
  <w:abstractNum w:abstractNumId="2" w15:restartNumberingAfterBreak="0">
    <w:nsid w:val="49F16D78"/>
    <w:multiLevelType w:val="hybridMultilevel"/>
    <w:tmpl w:val="A02403F8"/>
    <w:lvl w:ilvl="0" w:tplc="05CA96B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53066554"/>
    <w:multiLevelType w:val="hybridMultilevel"/>
    <w:tmpl w:val="D0C01204"/>
    <w:lvl w:ilvl="0" w:tplc="17265A48">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2C"/>
    <w:rsid w:val="00234E1F"/>
    <w:rsid w:val="0034341B"/>
    <w:rsid w:val="004969AD"/>
    <w:rsid w:val="004B25A3"/>
    <w:rsid w:val="0056678A"/>
    <w:rsid w:val="005A60EA"/>
    <w:rsid w:val="005D732F"/>
    <w:rsid w:val="007354DF"/>
    <w:rsid w:val="0078042C"/>
    <w:rsid w:val="00A42620"/>
    <w:rsid w:val="00A45E04"/>
    <w:rsid w:val="00C538FA"/>
    <w:rsid w:val="00C577F6"/>
    <w:rsid w:val="00CE6604"/>
    <w:rsid w:val="00DE32CC"/>
    <w:rsid w:val="00EA32D8"/>
    <w:rsid w:val="00F67D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1B98"/>
  <w15:chartTrackingRefBased/>
  <w15:docId w15:val="{55143A79-A917-4AC6-B631-322FA17A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ist (bullet),List Paragraph1"/>
    <w:basedOn w:val="Normaallaad"/>
    <w:link w:val="LoendilikMrk"/>
    <w:uiPriority w:val="34"/>
    <w:qFormat/>
    <w:rsid w:val="0078042C"/>
    <w:pPr>
      <w:spacing w:after="0" w:line="240" w:lineRule="auto"/>
      <w:ind w:left="720"/>
      <w:contextualSpacing/>
    </w:pPr>
    <w:rPr>
      <w:rFonts w:ascii="Times New Roman" w:eastAsia="Times New Roman" w:hAnsi="Times New Roman"/>
      <w:sz w:val="20"/>
      <w:szCs w:val="20"/>
    </w:rPr>
  </w:style>
  <w:style w:type="character" w:customStyle="1" w:styleId="LoendilikMrk">
    <w:name w:val="Loendi lõik Märk"/>
    <w:aliases w:val="Mummuga loetelu Märk,List (bullet) Märk,List Paragraph1 Märk"/>
    <w:link w:val="Loendilik"/>
    <w:uiPriority w:val="34"/>
    <w:locked/>
    <w:rsid w:val="0078042C"/>
    <w:rPr>
      <w:rFonts w:ascii="Times New Roman" w:eastAsia="Times New Roman" w:hAnsi="Times New Roman"/>
      <w:lang w:eastAsia="en-US"/>
    </w:rPr>
  </w:style>
  <w:style w:type="character" w:styleId="Kommentaariviide">
    <w:name w:val="annotation reference"/>
    <w:basedOn w:val="Liguvaikefont"/>
    <w:uiPriority w:val="99"/>
    <w:semiHidden/>
    <w:unhideWhenUsed/>
    <w:rsid w:val="0078042C"/>
    <w:rPr>
      <w:sz w:val="18"/>
      <w:szCs w:val="18"/>
    </w:rPr>
  </w:style>
  <w:style w:type="paragraph" w:styleId="Kommentaaritekst">
    <w:name w:val="annotation text"/>
    <w:basedOn w:val="Normaallaad"/>
    <w:link w:val="KommentaaritekstMrk"/>
    <w:uiPriority w:val="99"/>
    <w:unhideWhenUsed/>
    <w:rsid w:val="0078042C"/>
    <w:pPr>
      <w:spacing w:after="0" w:line="240" w:lineRule="auto"/>
    </w:pPr>
    <w:rPr>
      <w:rFonts w:asciiTheme="minorHAnsi" w:eastAsiaTheme="minorEastAsia" w:hAnsiTheme="minorHAnsi" w:cstheme="minorBidi"/>
      <w:sz w:val="24"/>
      <w:szCs w:val="24"/>
      <w:lang w:val="en-US"/>
    </w:rPr>
  </w:style>
  <w:style w:type="character" w:customStyle="1" w:styleId="KommentaaritekstMrk">
    <w:name w:val="Kommentaari tekst Märk"/>
    <w:basedOn w:val="Liguvaikefont"/>
    <w:link w:val="Kommentaaritekst"/>
    <w:uiPriority w:val="99"/>
    <w:rsid w:val="0078042C"/>
    <w:rPr>
      <w:rFonts w:asciiTheme="minorHAnsi" w:eastAsiaTheme="minorEastAsia" w:hAnsiTheme="minorHAnsi" w:cstheme="minorBidi"/>
      <w:sz w:val="24"/>
      <w:szCs w:val="24"/>
      <w:lang w:val="en-US" w:eastAsia="en-US"/>
    </w:rPr>
  </w:style>
  <w:style w:type="paragraph" w:customStyle="1" w:styleId="Default">
    <w:name w:val="Default"/>
    <w:rsid w:val="004B25A3"/>
    <w:pPr>
      <w:autoSpaceDE w:val="0"/>
      <w:autoSpaceDN w:val="0"/>
      <w:adjustRightInd w:val="0"/>
    </w:pPr>
    <w:rPr>
      <w:rFonts w:ascii="Arial" w:hAnsi="Arial" w:cs="Arial"/>
      <w:color w:val="000000"/>
      <w:sz w:val="24"/>
      <w:szCs w:val="24"/>
    </w:rPr>
  </w:style>
  <w:style w:type="paragraph" w:styleId="Kommentaariteema">
    <w:name w:val="annotation subject"/>
    <w:basedOn w:val="Kommentaaritekst"/>
    <w:next w:val="Kommentaaritekst"/>
    <w:link w:val="KommentaariteemaMrk"/>
    <w:uiPriority w:val="99"/>
    <w:semiHidden/>
    <w:unhideWhenUsed/>
    <w:rsid w:val="004B25A3"/>
    <w:pPr>
      <w:spacing w:after="200"/>
    </w:pPr>
    <w:rPr>
      <w:rFonts w:ascii="Verdana" w:eastAsia="Calibri" w:hAnsi="Verdana" w:cs="Times New Roman"/>
      <w:b/>
      <w:bCs/>
      <w:sz w:val="20"/>
      <w:szCs w:val="20"/>
      <w:lang w:val="et-EE"/>
    </w:rPr>
  </w:style>
  <w:style w:type="character" w:customStyle="1" w:styleId="KommentaariteemaMrk">
    <w:name w:val="Kommentaari teema Märk"/>
    <w:basedOn w:val="KommentaaritekstMrk"/>
    <w:link w:val="Kommentaariteema"/>
    <w:uiPriority w:val="99"/>
    <w:semiHidden/>
    <w:rsid w:val="004B25A3"/>
    <w:rPr>
      <w:rFonts w:ascii="Verdana" w:eastAsiaTheme="minorEastAsia" w:hAnsi="Verdana" w:cstheme="minorBidi"/>
      <w:b/>
      <w:bCs/>
      <w:sz w:val="24"/>
      <w:szCs w:val="24"/>
      <w:lang w:val="en-US" w:eastAsia="en-US"/>
    </w:rPr>
  </w:style>
  <w:style w:type="paragraph" w:styleId="Pis">
    <w:name w:val="header"/>
    <w:basedOn w:val="Normaallaad"/>
    <w:link w:val="PisMrk"/>
    <w:uiPriority w:val="99"/>
    <w:unhideWhenUsed/>
    <w:rsid w:val="0056678A"/>
    <w:pPr>
      <w:tabs>
        <w:tab w:val="center" w:pos="4513"/>
        <w:tab w:val="right" w:pos="9026"/>
      </w:tabs>
      <w:spacing w:after="0" w:line="240" w:lineRule="auto"/>
    </w:pPr>
  </w:style>
  <w:style w:type="character" w:customStyle="1" w:styleId="PisMrk">
    <w:name w:val="Päis Märk"/>
    <w:basedOn w:val="Liguvaikefont"/>
    <w:link w:val="Pis"/>
    <w:uiPriority w:val="99"/>
    <w:rsid w:val="0056678A"/>
    <w:rPr>
      <w:rFonts w:ascii="Verdana" w:hAnsi="Verdana"/>
      <w:sz w:val="22"/>
      <w:szCs w:val="22"/>
      <w:lang w:eastAsia="en-US"/>
    </w:rPr>
  </w:style>
  <w:style w:type="paragraph" w:styleId="Jalus">
    <w:name w:val="footer"/>
    <w:basedOn w:val="Normaallaad"/>
    <w:link w:val="JalusMrk"/>
    <w:uiPriority w:val="99"/>
    <w:unhideWhenUsed/>
    <w:rsid w:val="0056678A"/>
    <w:pPr>
      <w:tabs>
        <w:tab w:val="center" w:pos="4513"/>
        <w:tab w:val="right" w:pos="9026"/>
      </w:tabs>
      <w:spacing w:after="0" w:line="240" w:lineRule="auto"/>
    </w:pPr>
  </w:style>
  <w:style w:type="character" w:customStyle="1" w:styleId="JalusMrk">
    <w:name w:val="Jalus Märk"/>
    <w:basedOn w:val="Liguvaikefont"/>
    <w:link w:val="Jalus"/>
    <w:uiPriority w:val="99"/>
    <w:rsid w:val="0056678A"/>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557</Words>
  <Characters>3235</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Kirsikka Uusmaa</cp:lastModifiedBy>
  <cp:revision>6</cp:revision>
  <dcterms:created xsi:type="dcterms:W3CDTF">2024-02-26T09:19:00Z</dcterms:created>
  <dcterms:modified xsi:type="dcterms:W3CDTF">2024-02-26T09:41:00Z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1108958643</vt:i4>
  </property>
  <property fmtid="{D5CDD505-2E9C-101B-9397-08002B2CF9AE}" pid="3" name="_NewReviewCycle">
    <vt:lpwstr/>
  </property>
  <property fmtid="{D5CDD505-2E9C-101B-9397-08002B2CF9AE}" pid="4" name="_EmailSubject">
    <vt:lpwstr>Täienduskoolituse läbiviimine ja koolitusmaterjalide loomine tööks psüühikahäire ja intellektipuudega vanemaga perelepituse erijuhtumi protsessis</vt:lpwstr>
  </property>
  <property fmtid="{D5CDD505-2E9C-101B-9397-08002B2CF9AE}" pid="5" name="_AuthorEmail">
    <vt:lpwstr>eliise.tiidussalu@sotsiaalkindlustusamet.ee</vt:lpwstr>
  </property>
  <property fmtid="{D5CDD505-2E9C-101B-9397-08002B2CF9AE}" pid="6" name="_AuthorEmailDisplayName">
    <vt:lpwstr>Eliise Tiidussalu</vt:lpwstr>
  </property>
  <property fmtid="{D5CDD505-2E9C-101B-9397-08002B2CF9AE}" pid="7" name="_ReviewingToolsShownOnce">
    <vt:lpwstr/>
  </property>
</Properties>
</file>